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C9EA0" w14:textId="77777777" w:rsidR="00DA36E8" w:rsidRDefault="00DA36E8">
      <w:pPr>
        <w:sectPr w:rsidR="00DA36E8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2ACE4C8C" w14:textId="32C2CA7C" w:rsidR="00952AD4" w:rsidRPr="00D03101" w:rsidRDefault="008C469B" w:rsidP="00952AD4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3B4DCB">
        <w:t>Forrest Smith</w:t>
      </w:r>
      <w:r w:rsidR="00952AD4" w:rsidRPr="00D03101">
        <w:t>, Attorney</w:t>
      </w:r>
    </w:p>
    <w:p w14:paraId="475B6A54" w14:textId="77777777" w:rsidR="00952AD4" w:rsidRPr="00D03101" w:rsidRDefault="00952AD4" w:rsidP="00952AD4">
      <w:pPr>
        <w:ind w:left="1440"/>
      </w:pPr>
      <w:r w:rsidRPr="00D03101">
        <w:t>Legal Division</w:t>
      </w:r>
    </w:p>
    <w:p w14:paraId="190AFFB2" w14:textId="77777777" w:rsidR="008C469B" w:rsidRPr="00D03101" w:rsidRDefault="008C469B" w:rsidP="008C469B">
      <w:pPr>
        <w:tabs>
          <w:tab w:val="left" w:pos="1170"/>
        </w:tabs>
      </w:pPr>
      <w:r w:rsidRPr="00D03101">
        <w:tab/>
      </w:r>
      <w:r w:rsidRPr="00D03101">
        <w:tab/>
      </w:r>
    </w:p>
    <w:p w14:paraId="560007B6" w14:textId="476A09EE" w:rsidR="00952AD4" w:rsidRPr="00D03101" w:rsidRDefault="008C469B" w:rsidP="00952AD4">
      <w:r w:rsidRPr="00D03101">
        <w:rPr>
          <w:b/>
        </w:rPr>
        <w:t>FROM:</w:t>
      </w:r>
      <w:r w:rsidRPr="00D03101">
        <w:rPr>
          <w:b/>
        </w:rPr>
        <w:tab/>
      </w:r>
      <w:r w:rsidR="003B4DCB">
        <w:t>Patricia Garcia</w:t>
      </w:r>
      <w:r w:rsidR="00952AD4" w:rsidRPr="00D03101">
        <w:t xml:space="preserve">, </w:t>
      </w:r>
      <w:r w:rsidR="003B4DCB">
        <w:t>Infrastructure Analysis Section Director</w:t>
      </w:r>
    </w:p>
    <w:p w14:paraId="5A34A5DC" w14:textId="77777777" w:rsidR="00952AD4" w:rsidRPr="00D03101" w:rsidRDefault="00952AD4" w:rsidP="00952AD4">
      <w:pPr>
        <w:ind w:left="1440"/>
      </w:pPr>
      <w:r w:rsidRPr="00D03101">
        <w:t>Infrastructure Division</w:t>
      </w:r>
    </w:p>
    <w:p w14:paraId="30CBD379" w14:textId="46A92B35" w:rsidR="008C469B" w:rsidRPr="00D03101" w:rsidRDefault="008C469B" w:rsidP="008C469B">
      <w:pPr>
        <w:tabs>
          <w:tab w:val="left" w:pos="1170"/>
        </w:tabs>
        <w:spacing w:before="240"/>
      </w:pPr>
      <w:r w:rsidRPr="00D03101">
        <w:rPr>
          <w:b/>
        </w:rPr>
        <w:t>DATE:</w:t>
      </w:r>
      <w:r w:rsidRPr="00D03101">
        <w:rPr>
          <w:b/>
        </w:rPr>
        <w:tab/>
      </w:r>
      <w:r w:rsidRPr="00D03101">
        <w:rPr>
          <w:b/>
        </w:rPr>
        <w:tab/>
      </w:r>
      <w:r w:rsidR="003B4DCB">
        <w:rPr>
          <w:bCs/>
        </w:rPr>
        <w:t xml:space="preserve">October </w:t>
      </w:r>
      <w:r w:rsidR="005774BB">
        <w:rPr>
          <w:bCs/>
        </w:rPr>
        <w:t>19</w:t>
      </w:r>
      <w:r w:rsidR="005E5E31" w:rsidRPr="00D03101">
        <w:rPr>
          <w:bCs/>
        </w:rPr>
        <w:t>, 202</w:t>
      </w:r>
      <w:r w:rsidR="005774BB">
        <w:rPr>
          <w:bCs/>
        </w:rPr>
        <w:t>2</w:t>
      </w:r>
    </w:p>
    <w:p w14:paraId="167C87AD" w14:textId="77777777" w:rsidR="0028111B" w:rsidRPr="00D03101" w:rsidRDefault="0028111B" w:rsidP="008C469B">
      <w:pPr>
        <w:tabs>
          <w:tab w:val="left" w:pos="1170"/>
        </w:tabs>
        <w:spacing w:before="240"/>
      </w:pPr>
    </w:p>
    <w:p w14:paraId="426DAC99" w14:textId="57C2174A" w:rsidR="008C469B" w:rsidRPr="00D03101" w:rsidRDefault="008C469B" w:rsidP="008C469B">
      <w:pPr>
        <w:ind w:left="1440" w:right="-450" w:hanging="1440"/>
        <w:rPr>
          <w:b/>
          <w:i/>
          <w:szCs w:val="24"/>
        </w:rPr>
      </w:pPr>
      <w:r w:rsidRPr="00D03101">
        <w:rPr>
          <w:b/>
        </w:rPr>
        <w:t>RE:</w:t>
      </w:r>
      <w:r w:rsidRPr="00D03101">
        <w:rPr>
          <w:b/>
        </w:rPr>
        <w:tab/>
      </w:r>
      <w:r w:rsidR="00952AD4" w:rsidRPr="00D03101">
        <w:rPr>
          <w:bCs/>
        </w:rPr>
        <w:t xml:space="preserve">Docket No. </w:t>
      </w:r>
      <w:r w:rsidR="00B814E2" w:rsidRPr="00D03101">
        <w:rPr>
          <w:bCs/>
        </w:rPr>
        <w:t>51904</w:t>
      </w:r>
      <w:r w:rsidR="00952AD4" w:rsidRPr="00D03101">
        <w:t xml:space="preserve"> – </w:t>
      </w:r>
      <w:r w:rsidR="00952AD4" w:rsidRPr="00D03101">
        <w:rPr>
          <w:i/>
        </w:rPr>
        <w:t>Application of</w:t>
      </w:r>
      <w:r w:rsidR="00952AD4" w:rsidRPr="00D03101">
        <w:rPr>
          <w:i/>
          <w:iCs/>
        </w:rPr>
        <w:t xml:space="preserve"> </w:t>
      </w:r>
      <w:bookmarkStart w:id="0" w:name="_Hlk51230120"/>
      <w:r w:rsidR="00B814E2" w:rsidRPr="00D03101">
        <w:rPr>
          <w:i/>
          <w:iCs/>
        </w:rPr>
        <w:t>Monarch Utilities I L.P.</w:t>
      </w:r>
      <w:r w:rsidR="00952AD4" w:rsidRPr="00D03101">
        <w:rPr>
          <w:i/>
          <w:iCs/>
        </w:rPr>
        <w:t xml:space="preserve"> </w:t>
      </w:r>
      <w:bookmarkEnd w:id="0"/>
      <w:r w:rsidR="00952AD4" w:rsidRPr="00D03101">
        <w:rPr>
          <w:i/>
          <w:iCs/>
        </w:rPr>
        <w:t xml:space="preserve">to </w:t>
      </w:r>
      <w:r w:rsidR="00952AD4" w:rsidRPr="00D03101">
        <w:rPr>
          <w:i/>
        </w:rPr>
        <w:t xml:space="preserve">Amend its Certificates of Convenience and Necessity in </w:t>
      </w:r>
      <w:bookmarkStart w:id="1" w:name="_Hlk51224607"/>
      <w:r w:rsidR="00B814E2" w:rsidRPr="00D03101">
        <w:rPr>
          <w:i/>
          <w:iCs/>
        </w:rPr>
        <w:t>Harris and Liberty</w:t>
      </w:r>
      <w:r w:rsidR="00952AD4" w:rsidRPr="00D03101">
        <w:rPr>
          <w:i/>
        </w:rPr>
        <w:t xml:space="preserve"> </w:t>
      </w:r>
      <w:bookmarkEnd w:id="1"/>
      <w:r w:rsidR="00952AD4" w:rsidRPr="00D03101">
        <w:rPr>
          <w:i/>
        </w:rPr>
        <w:t>Count</w:t>
      </w:r>
      <w:r w:rsidR="00B814E2" w:rsidRPr="00D03101">
        <w:rPr>
          <w:i/>
        </w:rPr>
        <w:t>ies</w:t>
      </w:r>
      <w:r w:rsidR="00952AD4" w:rsidRPr="00D03101">
        <w:rPr>
          <w:i/>
        </w:rPr>
        <w:t xml:space="preserve"> </w:t>
      </w:r>
    </w:p>
    <w:p w14:paraId="04833EA1" w14:textId="77777777" w:rsidR="008C469B" w:rsidRPr="00D03101" w:rsidRDefault="0028111B" w:rsidP="008C469B">
      <w:pPr>
        <w:tabs>
          <w:tab w:val="left" w:pos="1170"/>
        </w:tabs>
        <w:ind w:left="1170" w:right="-450" w:hanging="1170"/>
      </w:pPr>
      <w:r w:rsidRPr="00D03101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32B15C52" wp14:editId="592F8417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4BED58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D03101">
        <w:tab/>
      </w:r>
    </w:p>
    <w:p w14:paraId="0174976F" w14:textId="5BFC4853" w:rsidR="000870D7" w:rsidRDefault="000870D7" w:rsidP="000870D7">
      <w:pPr>
        <w:spacing w:before="240"/>
      </w:pPr>
      <w:bookmarkStart w:id="2" w:name="_Hlk98396058"/>
      <w:r w:rsidRPr="00D03101">
        <w:t>On March 16, 2021, Monarch Utilities I L.P. (Monarch) filed with the Public Utility Commission of Texas (</w:t>
      </w:r>
      <w:r w:rsidRPr="00D03101">
        <w:rPr>
          <w:bCs/>
        </w:rPr>
        <w:t xml:space="preserve">Commission) an application to amend </w:t>
      </w:r>
      <w:r w:rsidRPr="00D03101">
        <w:t xml:space="preserve">its water certificate of convenience and necessity (CCN) No. </w:t>
      </w:r>
      <w:r w:rsidRPr="00C43FD3">
        <w:t>12983</w:t>
      </w:r>
      <w:r w:rsidRPr="00D03101">
        <w:t xml:space="preserve"> and sewer CCN No. 20899 in Harris and Liberty </w:t>
      </w:r>
      <w:r w:rsidR="00E52790">
        <w:t>c</w:t>
      </w:r>
      <w:r w:rsidRPr="00D03101">
        <w:t xml:space="preserve">ounties, Texas under Texas Water Code (TWC) §§ 13.242 to 13.250 and 16 Texas Administrative Code (TAC) §§ 24.225 to 24.237. </w:t>
      </w:r>
    </w:p>
    <w:p w14:paraId="3D7430AF" w14:textId="77777777" w:rsidR="005774BB" w:rsidRDefault="005774BB" w:rsidP="003B4DCB"/>
    <w:bookmarkEnd w:id="2"/>
    <w:p w14:paraId="55C4C3BC" w14:textId="1DDABF2B" w:rsidR="005774BB" w:rsidRPr="009156E9" w:rsidRDefault="005774BB" w:rsidP="005774BB">
      <w:r w:rsidRPr="009156E9">
        <w:t>Monarch</w:t>
      </w:r>
      <w:r w:rsidR="000870D7" w:rsidRPr="009156E9">
        <w:rPr>
          <w:i/>
        </w:rPr>
        <w:t xml:space="preserve"> </w:t>
      </w:r>
      <w:r w:rsidR="000870D7" w:rsidRPr="009156E9">
        <w:t xml:space="preserve">is seeking to </w:t>
      </w:r>
      <w:bookmarkStart w:id="3" w:name="_Hlk99101508"/>
      <w:bookmarkStart w:id="4" w:name="_Hlk99100921"/>
      <w:r w:rsidRPr="009156E9">
        <w:t>amend its</w:t>
      </w:r>
      <w:r w:rsidR="000870D7" w:rsidRPr="009156E9">
        <w:t xml:space="preserve"> </w:t>
      </w:r>
      <w:bookmarkStart w:id="5" w:name="_Hlk93583108"/>
      <w:r w:rsidRPr="009156E9">
        <w:rPr>
          <w:rFonts w:eastAsiaTheme="minorHAnsi"/>
        </w:rPr>
        <w:t>water and sewer</w:t>
      </w:r>
      <w:bookmarkEnd w:id="3"/>
      <w:bookmarkEnd w:id="5"/>
      <w:r w:rsidR="000870D7" w:rsidRPr="009156E9">
        <w:t xml:space="preserve"> CCN</w:t>
      </w:r>
      <w:bookmarkEnd w:id="4"/>
      <w:r w:rsidR="000870D7" w:rsidRPr="009156E9">
        <w:t xml:space="preserve">s for the service area containing </w:t>
      </w:r>
      <w:bookmarkStart w:id="6" w:name="_Hlk63326489"/>
      <w:r w:rsidRPr="009156E9">
        <w:t>0 current customers and approximately 121 acres of uncertificated area.</w:t>
      </w:r>
    </w:p>
    <w:p w14:paraId="7895EEE4" w14:textId="77777777" w:rsidR="005774BB" w:rsidRPr="009156E9" w:rsidRDefault="005774BB" w:rsidP="005774BB">
      <w:pPr>
        <w:spacing w:before="240"/>
      </w:pPr>
      <w:r w:rsidRPr="009156E9">
        <w:t>The result of the application will be the addition of approximately 121 acres to CCN Nos. 12983 and 20899.</w:t>
      </w:r>
    </w:p>
    <w:bookmarkEnd w:id="6"/>
    <w:p w14:paraId="15E84EE7" w14:textId="16FDD105" w:rsidR="000870D7" w:rsidRDefault="000870D7" w:rsidP="000870D7">
      <w:pPr>
        <w:rPr>
          <w:shd w:val="clear" w:color="auto" w:fill="FFFFFF"/>
        </w:rPr>
      </w:pPr>
    </w:p>
    <w:p w14:paraId="0E3B5247" w14:textId="43B5002B" w:rsidR="00DE347C" w:rsidRPr="001109A1" w:rsidRDefault="007879BA" w:rsidP="003B4DCB">
      <w:pPr>
        <w:rPr>
          <w:szCs w:val="24"/>
        </w:rPr>
      </w:pPr>
      <w:r>
        <w:rPr>
          <w:szCs w:val="24"/>
        </w:rPr>
        <w:t xml:space="preserve">On September 16, 2022, the Administrative Law Judge requested clarification from Monarch and Staff regarding Monarch’s compliance with 16 TAC </w:t>
      </w:r>
      <w:r w:rsidRPr="00D03101">
        <w:t>§ 24.22</w:t>
      </w:r>
      <w:r>
        <w:t xml:space="preserve">7(b) with respect to demonstrating that regionalization or consolidation with another retail public utility is not economically feasible.  Monarch’s response on September 24, 2022, provided documentation showing that </w:t>
      </w:r>
      <w:r w:rsidRPr="003B4DCB">
        <w:rPr>
          <w:szCs w:val="24"/>
        </w:rPr>
        <w:t xml:space="preserve">Harris County Municipal Utility District </w:t>
      </w:r>
      <w:r>
        <w:rPr>
          <w:szCs w:val="24"/>
        </w:rPr>
        <w:t xml:space="preserve">(MUD) </w:t>
      </w:r>
      <w:r w:rsidRPr="003B4DCB">
        <w:rPr>
          <w:szCs w:val="24"/>
        </w:rPr>
        <w:t>515, 516 or 517</w:t>
      </w:r>
      <w:r w:rsidR="00006728">
        <w:rPr>
          <w:szCs w:val="24"/>
        </w:rPr>
        <w:t xml:space="preserve">, were created in 2009, </w:t>
      </w:r>
      <w:r w:rsidR="001109A1">
        <w:rPr>
          <w:szCs w:val="24"/>
        </w:rPr>
        <w:t xml:space="preserve">are dormant and </w:t>
      </w:r>
      <w:r>
        <w:t>inactive</w:t>
      </w:r>
      <w:r w:rsidR="00DE347C">
        <w:t>. Therefore</w:t>
      </w:r>
      <w:r w:rsidR="0004560B">
        <w:t>,</w:t>
      </w:r>
      <w:r>
        <w:t xml:space="preserve"> </w:t>
      </w:r>
      <w:r w:rsidR="00264049">
        <w:t xml:space="preserve">although Monarch requested consent </w:t>
      </w:r>
      <w:r w:rsidR="004E7292">
        <w:t>to provide water service inside the boundaries of the MUDs</w:t>
      </w:r>
      <w:r w:rsidR="0004560B">
        <w:t>,</w:t>
      </w:r>
      <w:r w:rsidR="004E7292">
        <w:t xml:space="preserve"> they did not request </w:t>
      </w:r>
      <w:r w:rsidR="00DE347C">
        <w:t xml:space="preserve">water service </w:t>
      </w:r>
      <w:r w:rsidR="00264049">
        <w:t xml:space="preserve">from the </w:t>
      </w:r>
      <w:r w:rsidR="004E7292">
        <w:t xml:space="preserve">inactive </w:t>
      </w:r>
      <w:r w:rsidR="00264049">
        <w:t>MUDs.</w:t>
      </w:r>
      <w:r>
        <w:t xml:space="preserve"> </w:t>
      </w:r>
      <w:r w:rsidRPr="00D03101">
        <w:t xml:space="preserve"> </w:t>
      </w:r>
    </w:p>
    <w:p w14:paraId="0DC1BAF3" w14:textId="77777777" w:rsidR="00DE347C" w:rsidRDefault="00DE347C" w:rsidP="003B4DCB"/>
    <w:p w14:paraId="36F72F84" w14:textId="53112730" w:rsidR="003B4DCB" w:rsidRPr="003B4DCB" w:rsidRDefault="003B4DCB" w:rsidP="003B4DCB">
      <w:pPr>
        <w:rPr>
          <w:szCs w:val="24"/>
        </w:rPr>
      </w:pPr>
      <w:r w:rsidRPr="003B4DCB">
        <w:rPr>
          <w:szCs w:val="24"/>
        </w:rPr>
        <w:t xml:space="preserve">To determine the list of districts that must receive notice from Monarch, </w:t>
      </w:r>
      <w:r w:rsidR="00B0668E">
        <w:rPr>
          <w:szCs w:val="24"/>
        </w:rPr>
        <w:t>S</w:t>
      </w:r>
      <w:r w:rsidRPr="003B4DCB">
        <w:rPr>
          <w:szCs w:val="24"/>
        </w:rPr>
        <w:t xml:space="preserve">taff </w:t>
      </w:r>
      <w:r w:rsidR="00B0668E">
        <w:rPr>
          <w:szCs w:val="24"/>
        </w:rPr>
        <w:t xml:space="preserve">must verify </w:t>
      </w:r>
      <w:r w:rsidRPr="003B4DCB">
        <w:rPr>
          <w:szCs w:val="24"/>
        </w:rPr>
        <w:t>if a district is located within the boundaries of the requested area or</w:t>
      </w:r>
      <w:r w:rsidR="00B0668E">
        <w:rPr>
          <w:szCs w:val="24"/>
        </w:rPr>
        <w:t xml:space="preserve"> whether it</w:t>
      </w:r>
      <w:r w:rsidRPr="003B4DCB">
        <w:rPr>
          <w:szCs w:val="24"/>
        </w:rPr>
        <w:t xml:space="preserve"> is located within two</w:t>
      </w:r>
      <w:r w:rsidR="00DB4732">
        <w:rPr>
          <w:szCs w:val="24"/>
        </w:rPr>
        <w:t xml:space="preserve"> </w:t>
      </w:r>
      <w:r w:rsidRPr="003B4DCB">
        <w:rPr>
          <w:szCs w:val="24"/>
        </w:rPr>
        <w:t xml:space="preserve">miles of the requested area. </w:t>
      </w:r>
      <w:r w:rsidR="00264049">
        <w:rPr>
          <w:szCs w:val="24"/>
        </w:rPr>
        <w:t xml:space="preserve"> </w:t>
      </w:r>
      <w:r w:rsidRPr="003B4DCB">
        <w:rPr>
          <w:szCs w:val="24"/>
        </w:rPr>
        <w:t xml:space="preserve">If a district is located within the requested area or within two miles of the requested area, then </w:t>
      </w:r>
      <w:r w:rsidR="00B0668E">
        <w:rPr>
          <w:szCs w:val="24"/>
        </w:rPr>
        <w:t>S</w:t>
      </w:r>
      <w:r w:rsidRPr="003B4DCB">
        <w:rPr>
          <w:szCs w:val="24"/>
        </w:rPr>
        <w:t xml:space="preserve">taff verifies if the district is active, inactive, dissolved, or unknown by referencing the Texas Commission on Environmental Quality’s (TCEQ) Water District Database (WDD). </w:t>
      </w:r>
      <w:r w:rsidR="00264049">
        <w:rPr>
          <w:szCs w:val="24"/>
        </w:rPr>
        <w:t xml:space="preserve"> </w:t>
      </w:r>
      <w:r w:rsidRPr="003B4DCB">
        <w:rPr>
          <w:szCs w:val="24"/>
        </w:rPr>
        <w:t xml:space="preserve">If a district is considered inactive, dissolved or unknown as defined </w:t>
      </w:r>
      <w:r w:rsidRPr="003B4DCB">
        <w:rPr>
          <w:szCs w:val="24"/>
        </w:rPr>
        <w:lastRenderedPageBreak/>
        <w:t>in TCEQ’s Guide to the WDD</w:t>
      </w:r>
      <w:r>
        <w:rPr>
          <w:rStyle w:val="FootnoteReference"/>
          <w:szCs w:val="24"/>
        </w:rPr>
        <w:footnoteReference w:id="1"/>
      </w:r>
      <w:r w:rsidRPr="003B4DCB">
        <w:rPr>
          <w:szCs w:val="24"/>
        </w:rPr>
        <w:t xml:space="preserve">, </w:t>
      </w:r>
      <w:r w:rsidR="00B0668E">
        <w:rPr>
          <w:szCs w:val="24"/>
        </w:rPr>
        <w:t>S</w:t>
      </w:r>
      <w:r w:rsidRPr="003B4DCB">
        <w:rPr>
          <w:szCs w:val="24"/>
        </w:rPr>
        <w:t xml:space="preserve">taff does not require the applicant to </w:t>
      </w:r>
      <w:r w:rsidR="00B0668E">
        <w:rPr>
          <w:szCs w:val="24"/>
        </w:rPr>
        <w:t xml:space="preserve">provide </w:t>
      </w:r>
      <w:r w:rsidRPr="003B4DCB">
        <w:rPr>
          <w:szCs w:val="24"/>
        </w:rPr>
        <w:t xml:space="preserve">notice </w:t>
      </w:r>
      <w:r w:rsidR="00B0668E">
        <w:rPr>
          <w:szCs w:val="24"/>
        </w:rPr>
        <w:t xml:space="preserve">to </w:t>
      </w:r>
      <w:r w:rsidRPr="003B4DCB">
        <w:rPr>
          <w:szCs w:val="24"/>
        </w:rPr>
        <w:t>the district.</w:t>
      </w:r>
      <w:r w:rsidR="00264049">
        <w:rPr>
          <w:szCs w:val="24"/>
        </w:rPr>
        <w:t xml:space="preserve"> </w:t>
      </w:r>
      <w:r w:rsidRPr="003B4DCB">
        <w:rPr>
          <w:szCs w:val="24"/>
        </w:rPr>
        <w:t xml:space="preserve">Therefore, </w:t>
      </w:r>
      <w:r w:rsidR="00B0668E">
        <w:rPr>
          <w:szCs w:val="24"/>
        </w:rPr>
        <w:t>S</w:t>
      </w:r>
      <w:r w:rsidRPr="003B4DCB">
        <w:rPr>
          <w:szCs w:val="24"/>
        </w:rPr>
        <w:t xml:space="preserve">taff did not request Monarch issue notice to the districts named Harris County </w:t>
      </w:r>
      <w:r w:rsidR="00264049">
        <w:rPr>
          <w:szCs w:val="24"/>
        </w:rPr>
        <w:t>MUD</w:t>
      </w:r>
      <w:r w:rsidRPr="003B4DCB">
        <w:rPr>
          <w:szCs w:val="24"/>
        </w:rPr>
        <w:t xml:space="preserve"> 515, 516 or 517, since each district is considered inactive in TCEQ’s WDD.</w:t>
      </w:r>
      <w:r w:rsidR="001109A1">
        <w:rPr>
          <w:szCs w:val="24"/>
        </w:rPr>
        <w:t xml:space="preserve">  Additionally, Staff reviewed the Commission’s Water Database and TCEQ’s Drinking Water Watch and Central Registry databases and was unable to find any sign that these districts have requested or obtained approval </w:t>
      </w:r>
      <w:r w:rsidR="0004560B">
        <w:rPr>
          <w:szCs w:val="24"/>
        </w:rPr>
        <w:t>to provide</w:t>
      </w:r>
      <w:r w:rsidR="001109A1">
        <w:rPr>
          <w:szCs w:val="24"/>
        </w:rPr>
        <w:t xml:space="preserve"> water service from either agency.</w:t>
      </w:r>
      <w:r w:rsidR="001109A1" w:rsidRPr="003B4DCB">
        <w:rPr>
          <w:szCs w:val="24"/>
        </w:rPr>
        <w:t xml:space="preserve"> </w:t>
      </w:r>
      <w:r w:rsidRPr="003B4DCB">
        <w:rPr>
          <w:szCs w:val="24"/>
        </w:rPr>
        <w:t xml:space="preserve"> </w:t>
      </w:r>
    </w:p>
    <w:p w14:paraId="43E6B82A" w14:textId="77777777" w:rsidR="003B4DCB" w:rsidRPr="003B4DCB" w:rsidRDefault="003B4DCB" w:rsidP="003B4DCB">
      <w:pPr>
        <w:rPr>
          <w:szCs w:val="24"/>
        </w:rPr>
      </w:pPr>
    </w:p>
    <w:p w14:paraId="224866E3" w14:textId="6C519A95" w:rsidR="003B4DCB" w:rsidRPr="009156E9" w:rsidRDefault="00264049" w:rsidP="000870D7">
      <w:pPr>
        <w:rPr>
          <w:shd w:val="clear" w:color="auto" w:fill="FFFFFF"/>
        </w:rPr>
      </w:pPr>
      <w:r w:rsidRPr="0031287D">
        <w:rPr>
          <w:bCs/>
        </w:rPr>
        <w:t>Based on</w:t>
      </w:r>
      <w:r w:rsidR="00A11323">
        <w:rPr>
          <w:bCs/>
        </w:rPr>
        <w:t xml:space="preserve"> the documentation filed by Monarch</w:t>
      </w:r>
      <w:r>
        <w:t xml:space="preserve"> finding that </w:t>
      </w:r>
      <w:r w:rsidRPr="003B4DCB">
        <w:rPr>
          <w:szCs w:val="24"/>
        </w:rPr>
        <w:t xml:space="preserve">Harris County </w:t>
      </w:r>
      <w:r>
        <w:rPr>
          <w:szCs w:val="24"/>
        </w:rPr>
        <w:t>MUD</w:t>
      </w:r>
      <w:r w:rsidRPr="003B4DCB">
        <w:rPr>
          <w:szCs w:val="24"/>
        </w:rPr>
        <w:t xml:space="preserve"> 515, 516 or 517</w:t>
      </w:r>
      <w:r>
        <w:rPr>
          <w:szCs w:val="24"/>
        </w:rPr>
        <w:t xml:space="preserve"> were inactive districts</w:t>
      </w:r>
      <w:r w:rsidR="00423354">
        <w:rPr>
          <w:szCs w:val="24"/>
        </w:rPr>
        <w:t xml:space="preserve"> with dormant affidavits filed</w:t>
      </w:r>
      <w:r w:rsidR="00A11323">
        <w:rPr>
          <w:szCs w:val="24"/>
        </w:rPr>
        <w:t xml:space="preserve"> and</w:t>
      </w:r>
      <w:r>
        <w:rPr>
          <w:szCs w:val="24"/>
        </w:rPr>
        <w:t xml:space="preserve"> </w:t>
      </w:r>
      <w:r w:rsidR="00A11323">
        <w:t xml:space="preserve">the mapping review finding these districts inactive </w:t>
      </w:r>
      <w:r>
        <w:rPr>
          <w:szCs w:val="24"/>
        </w:rPr>
        <w:t xml:space="preserve">and therefore did not need to be provided notice, I agree with Monarch’s decision not to request </w:t>
      </w:r>
      <w:r w:rsidR="000500BF">
        <w:rPr>
          <w:szCs w:val="24"/>
        </w:rPr>
        <w:t xml:space="preserve">water </w:t>
      </w:r>
      <w:r>
        <w:rPr>
          <w:szCs w:val="24"/>
        </w:rPr>
        <w:t xml:space="preserve">service from the inactive districts.  </w:t>
      </w:r>
    </w:p>
    <w:sectPr w:rsidR="003B4DCB" w:rsidRPr="009156E9" w:rsidSect="008262FF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0877F" w14:textId="77777777" w:rsidR="004B0F78" w:rsidRDefault="004B0F78">
      <w:r>
        <w:separator/>
      </w:r>
    </w:p>
  </w:endnote>
  <w:endnote w:type="continuationSeparator" w:id="0">
    <w:p w14:paraId="1FF7A948" w14:textId="77777777" w:rsidR="004B0F78" w:rsidRDefault="004B0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03FA2" w14:textId="77777777" w:rsidR="004B0F78" w:rsidRDefault="004B0F78">
      <w:r>
        <w:separator/>
      </w:r>
    </w:p>
  </w:footnote>
  <w:footnote w:type="continuationSeparator" w:id="0">
    <w:p w14:paraId="79D34CB7" w14:textId="77777777" w:rsidR="004B0F78" w:rsidRDefault="004B0F78">
      <w:r>
        <w:continuationSeparator/>
      </w:r>
    </w:p>
  </w:footnote>
  <w:footnote w:id="1">
    <w:p w14:paraId="67A667BE" w14:textId="74E2D6F5" w:rsidR="003B4DCB" w:rsidRPr="003B4DCB" w:rsidRDefault="003B4DCB" w:rsidP="003B4DCB">
      <w:pPr>
        <w:rPr>
          <w:i/>
          <w:iCs/>
          <w:szCs w:val="24"/>
        </w:rPr>
      </w:pPr>
      <w:r>
        <w:rPr>
          <w:rStyle w:val="FootnoteReference"/>
        </w:rPr>
        <w:footnoteRef/>
      </w:r>
      <w:r>
        <w:t xml:space="preserve"> </w:t>
      </w:r>
      <w:r w:rsidRPr="003B4DCB">
        <w:rPr>
          <w:sz w:val="20"/>
        </w:rPr>
        <w:t xml:space="preserve">As defined by TCEQ’s Guide to the WDD, “Inactive is </w:t>
      </w:r>
      <w:r w:rsidRPr="003B4DCB">
        <w:rPr>
          <w:i/>
          <w:iCs/>
          <w:sz w:val="20"/>
        </w:rPr>
        <w:t>used to identify those districts that we know to be financially dormant. Financial dormancy is defined by the Legislature in Texas Water Code Section 49.197 as: “A district that had: (1) $500 or less of receipts from operations, tax assessments, loans, contributions, or any other sources during the calendar year; (2) $500 or less of disbursements of funds during the calendar year; (3) no bonds or other long-term (more than one year) liabilities outstanding during the calendar year; and (4) no cash or investments that exceeded $5,000 at any time during the calendar year.”</w:t>
      </w:r>
    </w:p>
    <w:p w14:paraId="7BC5BF0B" w14:textId="75E6D816" w:rsidR="003B4DCB" w:rsidRDefault="003B4DCB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29797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75EE7FA7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59A416FD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6B362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9324D"/>
    <w:multiLevelType w:val="hybridMultilevel"/>
    <w:tmpl w:val="9E709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5">
      <w:start w:val="1"/>
      <w:numFmt w:val="upp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DD27C7"/>
    <w:multiLevelType w:val="hybridMultilevel"/>
    <w:tmpl w:val="3F6EC61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57F34FB1"/>
    <w:multiLevelType w:val="multilevel"/>
    <w:tmpl w:val="554EF1EC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AB73BD5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6D05CB"/>
    <w:multiLevelType w:val="hybridMultilevel"/>
    <w:tmpl w:val="787254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E31"/>
    <w:rsid w:val="00006728"/>
    <w:rsid w:val="000067F6"/>
    <w:rsid w:val="00013438"/>
    <w:rsid w:val="0004560B"/>
    <w:rsid w:val="000500BF"/>
    <w:rsid w:val="00077936"/>
    <w:rsid w:val="000870D7"/>
    <w:rsid w:val="000964BF"/>
    <w:rsid w:val="001109A1"/>
    <w:rsid w:val="00116570"/>
    <w:rsid w:val="001A5E75"/>
    <w:rsid w:val="001E635E"/>
    <w:rsid w:val="00231A98"/>
    <w:rsid w:val="00264049"/>
    <w:rsid w:val="0028111B"/>
    <w:rsid w:val="0028502C"/>
    <w:rsid w:val="0029637C"/>
    <w:rsid w:val="002C00B8"/>
    <w:rsid w:val="002D5D93"/>
    <w:rsid w:val="003408A2"/>
    <w:rsid w:val="00375626"/>
    <w:rsid w:val="003B4DCB"/>
    <w:rsid w:val="00423354"/>
    <w:rsid w:val="004249AC"/>
    <w:rsid w:val="00456D40"/>
    <w:rsid w:val="00487CC0"/>
    <w:rsid w:val="004B0F78"/>
    <w:rsid w:val="004E7292"/>
    <w:rsid w:val="00573787"/>
    <w:rsid w:val="005774BB"/>
    <w:rsid w:val="005A42CD"/>
    <w:rsid w:val="005E5E31"/>
    <w:rsid w:val="007879BA"/>
    <w:rsid w:val="007C0BA6"/>
    <w:rsid w:val="007E4EE0"/>
    <w:rsid w:val="008262FF"/>
    <w:rsid w:val="008440D9"/>
    <w:rsid w:val="00851C79"/>
    <w:rsid w:val="00892B9D"/>
    <w:rsid w:val="008C469B"/>
    <w:rsid w:val="0091083F"/>
    <w:rsid w:val="009156E9"/>
    <w:rsid w:val="00940B36"/>
    <w:rsid w:val="00952AD4"/>
    <w:rsid w:val="00A11323"/>
    <w:rsid w:val="00A22AF5"/>
    <w:rsid w:val="00A57BC0"/>
    <w:rsid w:val="00A7691E"/>
    <w:rsid w:val="00AB4481"/>
    <w:rsid w:val="00AE5E2B"/>
    <w:rsid w:val="00AF3804"/>
    <w:rsid w:val="00B04B1E"/>
    <w:rsid w:val="00B0668E"/>
    <w:rsid w:val="00B11AED"/>
    <w:rsid w:val="00B56DD2"/>
    <w:rsid w:val="00B71A0B"/>
    <w:rsid w:val="00B814E2"/>
    <w:rsid w:val="00C43FD3"/>
    <w:rsid w:val="00CB10BF"/>
    <w:rsid w:val="00D03101"/>
    <w:rsid w:val="00D52B92"/>
    <w:rsid w:val="00D724BB"/>
    <w:rsid w:val="00DA36E8"/>
    <w:rsid w:val="00DB4732"/>
    <w:rsid w:val="00DC0AA9"/>
    <w:rsid w:val="00DC2473"/>
    <w:rsid w:val="00DC49F3"/>
    <w:rsid w:val="00DD2C5E"/>
    <w:rsid w:val="00DE347C"/>
    <w:rsid w:val="00E04054"/>
    <w:rsid w:val="00E076D9"/>
    <w:rsid w:val="00E52790"/>
    <w:rsid w:val="00EA1C0A"/>
    <w:rsid w:val="00EA5690"/>
    <w:rsid w:val="00EC7B54"/>
    <w:rsid w:val="00FC2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FDB4D7"/>
  <w15:chartTrackingRefBased/>
  <w15:docId w15:val="{C9049FA9-330B-402A-B84A-E69BF718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rsid w:val="00952A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AD4"/>
    <w:pPr>
      <w:jc w:val="left"/>
    </w:pPr>
    <w:rPr>
      <w:rFonts w:cs="Baskerville Old Face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2AD4"/>
    <w:rPr>
      <w:rFonts w:cs="Baskerville Old Face"/>
    </w:rPr>
  </w:style>
  <w:style w:type="character" w:styleId="Hyperlink">
    <w:name w:val="Hyperlink"/>
    <w:rsid w:val="00952AD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52AD4"/>
    <w:pPr>
      <w:widowControl w:val="0"/>
      <w:autoSpaceDE w:val="0"/>
      <w:autoSpaceDN w:val="0"/>
      <w:adjustRightInd w:val="0"/>
      <w:ind w:left="720"/>
      <w:contextualSpacing/>
      <w:jc w:val="left"/>
    </w:pPr>
    <w:rPr>
      <w:szCs w:val="24"/>
    </w:rPr>
  </w:style>
  <w:style w:type="paragraph" w:styleId="NoSpacing">
    <w:name w:val="No Spacing"/>
    <w:uiPriority w:val="1"/>
    <w:qFormat/>
    <w:rsid w:val="00952AD4"/>
    <w:rPr>
      <w:rFonts w:eastAsia="Calibri"/>
      <w:sz w:val="24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1C0A"/>
    <w:pPr>
      <w:jc w:val="both"/>
    </w:pPr>
    <w:rPr>
      <w:rFonts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1C0A"/>
    <w:rPr>
      <w:rFonts w:cs="Baskerville Old Face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EC7B54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870D7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870D7"/>
  </w:style>
  <w:style w:type="character" w:styleId="FootnoteReference">
    <w:name w:val="footnote reference"/>
    <w:basedOn w:val="DefaultParagraphFont"/>
    <w:uiPriority w:val="99"/>
    <w:semiHidden/>
    <w:unhideWhenUsed/>
    <w:rsid w:val="000870D7"/>
    <w:rPr>
      <w:vertAlign w:val="superscript"/>
    </w:rPr>
  </w:style>
  <w:style w:type="paragraph" w:styleId="Revision">
    <w:name w:val="Revision"/>
    <w:hidden/>
    <w:uiPriority w:val="99"/>
    <w:semiHidden/>
    <w:rsid w:val="00D724BB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264049"/>
    <w:rPr>
      <w:color w:val="808080"/>
    </w:rPr>
  </w:style>
  <w:style w:type="character" w:customStyle="1" w:styleId="Style1">
    <w:name w:val="Style1"/>
    <w:basedOn w:val="DefaultParagraphFont"/>
    <w:uiPriority w:val="1"/>
    <w:rsid w:val="00264049"/>
    <w:rPr>
      <w:rFonts w:ascii="Times New Roman" w:hAnsi="Times New Roman"/>
      <w:color w:val="FF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4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BAE425-EE22-4424-902B-16A2131FA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Mathis, Jolie</dc:creator>
  <cp:keywords/>
  <cp:lastModifiedBy>Forrest Smith</cp:lastModifiedBy>
  <cp:revision>5</cp:revision>
  <cp:lastPrinted>2014-10-31T15:06:00Z</cp:lastPrinted>
  <dcterms:created xsi:type="dcterms:W3CDTF">2022-10-19T13:54:00Z</dcterms:created>
  <dcterms:modified xsi:type="dcterms:W3CDTF">2022-10-19T18:27:00Z</dcterms:modified>
</cp:coreProperties>
</file>